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4C84B5" w14:textId="32880061" w:rsidR="00B732B1" w:rsidRDefault="00B80FDD" w:rsidP="00B80FDD">
      <w:pPr>
        <w:jc w:val="center"/>
        <w:rPr>
          <w:rFonts w:ascii="Times New Roman" w:hAnsi="Times New Roman" w:cs="Times New Roman"/>
          <w:b/>
          <w:sz w:val="28"/>
          <w:szCs w:val="28"/>
        </w:rPr>
      </w:pPr>
      <w:bookmarkStart w:id="0" w:name="_Hlk183784738"/>
      <w:bookmarkEnd w:id="0"/>
      <w:r>
        <w:rPr>
          <w:rFonts w:ascii="Times New Roman" w:hAnsi="Times New Roman" w:cs="Times New Roman"/>
          <w:b/>
          <w:sz w:val="28"/>
          <w:szCs w:val="28"/>
        </w:rPr>
        <w:t>С</w:t>
      </w:r>
      <w:r w:rsidRPr="00B80FDD">
        <w:rPr>
          <w:rFonts w:ascii="Times New Roman" w:hAnsi="Times New Roman" w:cs="Times New Roman"/>
          <w:b/>
          <w:sz w:val="28"/>
          <w:szCs w:val="28"/>
        </w:rPr>
        <w:t>писок рисунков</w:t>
      </w:r>
    </w:p>
    <w:p w14:paraId="77AFE6FB" w14:textId="7B4A1537" w:rsidR="009D1B74" w:rsidRDefault="009D1B74" w:rsidP="00B80FDD">
      <w:pPr>
        <w:jc w:val="center"/>
        <w:rPr>
          <w:rFonts w:ascii="Times New Roman" w:hAnsi="Times New Roman" w:cs="Times New Roman"/>
          <w:b/>
          <w:sz w:val="28"/>
          <w:szCs w:val="28"/>
        </w:rPr>
      </w:pPr>
      <w:r>
        <w:rPr>
          <w:rFonts w:ascii="Times New Roman" w:hAnsi="Times New Roman" w:cs="Times New Roman"/>
          <w:b/>
          <w:noProof/>
          <w:sz w:val="28"/>
          <w:szCs w:val="28"/>
        </w:rPr>
        <w:drawing>
          <wp:inline distT="0" distB="0" distL="0" distR="0" wp14:anchorId="34A13D0A" wp14:editId="133F37BD">
            <wp:extent cx="5130800" cy="3122380"/>
            <wp:effectExtent l="0" t="0" r="0" b="190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134507" cy="3124636"/>
                    </a:xfrm>
                    <a:prstGeom prst="rect">
                      <a:avLst/>
                    </a:prstGeom>
                    <a:noFill/>
                    <a:ln>
                      <a:noFill/>
                    </a:ln>
                  </pic:spPr>
                </pic:pic>
              </a:graphicData>
            </a:graphic>
          </wp:inline>
        </w:drawing>
      </w:r>
    </w:p>
    <w:p w14:paraId="39236CCC" w14:textId="15EDDE78" w:rsidR="009D1B74" w:rsidRDefault="009D1B74" w:rsidP="009D1B74">
      <w:pPr>
        <w:spacing w:line="240" w:lineRule="auto"/>
        <w:jc w:val="both"/>
        <w:rPr>
          <w:rFonts w:ascii="Times New Roman" w:hAnsi="Times New Roman" w:cs="Times New Roman"/>
          <w:sz w:val="24"/>
          <w:szCs w:val="24"/>
        </w:rPr>
      </w:pPr>
      <w:r w:rsidRPr="005C46BD">
        <w:rPr>
          <w:rFonts w:ascii="Times New Roman" w:hAnsi="Times New Roman" w:cs="Times New Roman"/>
          <w:sz w:val="24"/>
          <w:szCs w:val="24"/>
        </w:rPr>
        <w:t xml:space="preserve">Рисунок 1. Уровень экспрессии гена </w:t>
      </w:r>
      <w:r w:rsidRPr="005C46BD">
        <w:rPr>
          <w:rFonts w:ascii="Times New Roman" w:hAnsi="Times New Roman" w:cs="Times New Roman"/>
          <w:i/>
          <w:iCs/>
          <w:sz w:val="24"/>
          <w:szCs w:val="24"/>
        </w:rPr>
        <w:t>IL1β</w:t>
      </w:r>
      <w:r w:rsidRPr="005C46BD">
        <w:rPr>
          <w:rFonts w:ascii="Times New Roman" w:hAnsi="Times New Roman" w:cs="Times New Roman"/>
          <w:sz w:val="24"/>
          <w:szCs w:val="24"/>
        </w:rPr>
        <w:t xml:space="preserve"> в носоглотке </w:t>
      </w:r>
      <w:proofErr w:type="gramStart"/>
      <w:r w:rsidRPr="005C46BD">
        <w:rPr>
          <w:rFonts w:ascii="Times New Roman" w:hAnsi="Times New Roman" w:cs="Times New Roman"/>
          <w:sz w:val="24"/>
          <w:szCs w:val="24"/>
        </w:rPr>
        <w:t>у лиц</w:t>
      </w:r>
      <w:proofErr w:type="gramEnd"/>
      <w:r w:rsidRPr="005C46BD">
        <w:rPr>
          <w:rFonts w:ascii="Times New Roman" w:hAnsi="Times New Roman" w:cs="Times New Roman"/>
          <w:sz w:val="24"/>
          <w:szCs w:val="24"/>
        </w:rPr>
        <w:t xml:space="preserve"> перенесших заболевание COVID-19</w:t>
      </w:r>
      <w:r>
        <w:rPr>
          <w:rFonts w:ascii="Times New Roman" w:hAnsi="Times New Roman" w:cs="Times New Roman"/>
          <w:sz w:val="24"/>
          <w:szCs w:val="24"/>
        </w:rPr>
        <w:t xml:space="preserve">. </w:t>
      </w:r>
      <w:r w:rsidRPr="005C46BD">
        <w:rPr>
          <w:rFonts w:ascii="Times New Roman" w:hAnsi="Times New Roman" w:cs="Times New Roman"/>
          <w:sz w:val="24"/>
          <w:szCs w:val="24"/>
        </w:rPr>
        <w:t xml:space="preserve">По оси абсцисс время и группы. По оси ординат Относительные единицы от числа копий </w:t>
      </w:r>
      <w:r w:rsidRPr="005C46BD">
        <w:rPr>
          <w:rFonts w:ascii="Times New Roman" w:hAnsi="Times New Roman" w:cs="Times New Roman"/>
          <w:sz w:val="24"/>
          <w:szCs w:val="24"/>
          <w:lang w:val="en-US"/>
        </w:rPr>
        <w:t>β</w:t>
      </w:r>
      <w:r w:rsidRPr="005C46BD">
        <w:rPr>
          <w:rFonts w:ascii="Times New Roman" w:hAnsi="Times New Roman" w:cs="Times New Roman"/>
          <w:sz w:val="24"/>
          <w:szCs w:val="24"/>
        </w:rPr>
        <w:t xml:space="preserve">-актина. </w:t>
      </w:r>
    </w:p>
    <w:p w14:paraId="617C67E0" w14:textId="495AC413" w:rsidR="009D1B74" w:rsidRPr="009D1B74" w:rsidRDefault="009D1B74" w:rsidP="009D1B74">
      <w:pPr>
        <w:spacing w:line="240" w:lineRule="auto"/>
        <w:jc w:val="both"/>
        <w:rPr>
          <w:rFonts w:ascii="Times New Roman" w:hAnsi="Times New Roman" w:cs="Times New Roman"/>
          <w:color w:val="202124"/>
          <w:sz w:val="24"/>
          <w:szCs w:val="24"/>
          <w:shd w:val="clear" w:color="auto" w:fill="F8F9FA"/>
          <w:lang w:val="en-US"/>
        </w:rPr>
      </w:pPr>
      <w:r w:rsidRPr="005C46BD">
        <w:rPr>
          <w:rFonts w:ascii="Times New Roman" w:hAnsi="Times New Roman" w:cs="Times New Roman"/>
          <w:color w:val="202124"/>
          <w:sz w:val="24"/>
          <w:szCs w:val="24"/>
          <w:shd w:val="clear" w:color="auto" w:fill="F8F9FA"/>
          <w:lang w:val="en-US"/>
        </w:rPr>
        <w:t xml:space="preserve">Figure 1. </w:t>
      </w:r>
      <w:r w:rsidRPr="009D1B74">
        <w:rPr>
          <w:rFonts w:ascii="Times New Roman" w:hAnsi="Times New Roman" w:cs="Times New Roman"/>
          <w:i/>
          <w:iCs/>
          <w:color w:val="202124"/>
          <w:sz w:val="24"/>
          <w:szCs w:val="24"/>
          <w:shd w:val="clear" w:color="auto" w:fill="F8F9FA"/>
          <w:lang w:val="en-US"/>
        </w:rPr>
        <w:t>IL1β</w:t>
      </w:r>
      <w:r w:rsidRPr="005C46BD">
        <w:rPr>
          <w:rFonts w:ascii="Times New Roman" w:hAnsi="Times New Roman" w:cs="Times New Roman"/>
          <w:color w:val="202124"/>
          <w:sz w:val="24"/>
          <w:szCs w:val="24"/>
          <w:shd w:val="clear" w:color="auto" w:fill="F8F9FA"/>
          <w:lang w:val="en-US"/>
        </w:rPr>
        <w:t xml:space="preserve"> gene expression level in the nasopharynx of individuals who have had COVID-19 disease</w:t>
      </w:r>
      <w:r w:rsidRPr="009D1B74">
        <w:rPr>
          <w:rFonts w:ascii="Times New Roman" w:hAnsi="Times New Roman" w:cs="Times New Roman"/>
          <w:color w:val="202124"/>
          <w:sz w:val="24"/>
          <w:szCs w:val="24"/>
          <w:shd w:val="clear" w:color="auto" w:fill="F8F9FA"/>
          <w:lang w:val="en-US"/>
        </w:rPr>
        <w:t xml:space="preserve">. </w:t>
      </w:r>
      <w:r w:rsidRPr="005C46BD">
        <w:rPr>
          <w:rFonts w:ascii="Times New Roman" w:hAnsi="Times New Roman" w:cs="Times New Roman"/>
          <w:color w:val="202124"/>
          <w:sz w:val="24"/>
          <w:szCs w:val="24"/>
          <w:shd w:val="clear" w:color="auto" w:fill="F8F9FA"/>
          <w:lang w:val="en-US"/>
        </w:rPr>
        <w:t>The x-axis is time and groups. Y axis Relative units of β-actin copy number.</w:t>
      </w:r>
    </w:p>
    <w:p w14:paraId="26835032" w14:textId="5AFB59C6" w:rsidR="009D1B74" w:rsidRDefault="009D1B74" w:rsidP="00B80FDD">
      <w:pPr>
        <w:jc w:val="center"/>
        <w:rPr>
          <w:rFonts w:ascii="Times New Roman" w:hAnsi="Times New Roman" w:cs="Times New Roman"/>
          <w:b/>
          <w:sz w:val="28"/>
          <w:szCs w:val="28"/>
        </w:rPr>
      </w:pPr>
      <w:r>
        <w:rPr>
          <w:rFonts w:ascii="Times New Roman" w:hAnsi="Times New Roman" w:cs="Times New Roman"/>
          <w:b/>
          <w:noProof/>
          <w:sz w:val="28"/>
          <w:szCs w:val="28"/>
        </w:rPr>
        <w:drawing>
          <wp:inline distT="0" distB="0" distL="0" distR="0" wp14:anchorId="23C26D89" wp14:editId="4430DFF3">
            <wp:extent cx="5441600" cy="3276600"/>
            <wp:effectExtent l="0" t="0" r="698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44151" cy="3278136"/>
                    </a:xfrm>
                    <a:prstGeom prst="rect">
                      <a:avLst/>
                    </a:prstGeom>
                    <a:noFill/>
                    <a:ln>
                      <a:noFill/>
                    </a:ln>
                  </pic:spPr>
                </pic:pic>
              </a:graphicData>
            </a:graphic>
          </wp:inline>
        </w:drawing>
      </w:r>
    </w:p>
    <w:p w14:paraId="04A8EB32" w14:textId="04BF6D8D" w:rsidR="00DE64C3" w:rsidRDefault="009D1B74" w:rsidP="009D1B74">
      <w:pPr>
        <w:spacing w:line="240" w:lineRule="auto"/>
        <w:jc w:val="both"/>
        <w:rPr>
          <w:rFonts w:ascii="Times New Roman" w:hAnsi="Times New Roman" w:cs="Times New Roman"/>
          <w:sz w:val="24"/>
          <w:szCs w:val="24"/>
        </w:rPr>
      </w:pPr>
      <w:r w:rsidRPr="005C46BD">
        <w:rPr>
          <w:rFonts w:ascii="Times New Roman" w:hAnsi="Times New Roman" w:cs="Times New Roman"/>
          <w:sz w:val="24"/>
          <w:szCs w:val="24"/>
        </w:rPr>
        <w:t xml:space="preserve">Рисунок 2. Уровень экспрессии гена </w:t>
      </w:r>
      <w:r w:rsidRPr="005C46BD">
        <w:rPr>
          <w:rFonts w:ascii="Times New Roman" w:hAnsi="Times New Roman" w:cs="Times New Roman"/>
          <w:i/>
          <w:iCs/>
          <w:sz w:val="24"/>
          <w:szCs w:val="24"/>
          <w:lang w:val="en-US"/>
        </w:rPr>
        <w:t>TNF</w:t>
      </w:r>
      <w:r w:rsidRPr="005C46BD">
        <w:rPr>
          <w:rFonts w:ascii="Times New Roman" w:hAnsi="Times New Roman" w:cs="Times New Roman"/>
          <w:i/>
          <w:iCs/>
          <w:sz w:val="24"/>
          <w:szCs w:val="24"/>
        </w:rPr>
        <w:t>-</w:t>
      </w:r>
      <w:r w:rsidRPr="005C46BD">
        <w:rPr>
          <w:rFonts w:ascii="Times New Roman" w:hAnsi="Times New Roman" w:cs="Times New Roman"/>
          <w:i/>
          <w:iCs/>
          <w:sz w:val="24"/>
          <w:szCs w:val="24"/>
          <w:lang w:val="en-US"/>
        </w:rPr>
        <w:t>α</w:t>
      </w:r>
      <w:r w:rsidRPr="005C46BD">
        <w:rPr>
          <w:rFonts w:ascii="Times New Roman" w:hAnsi="Times New Roman" w:cs="Times New Roman"/>
          <w:sz w:val="24"/>
          <w:szCs w:val="24"/>
        </w:rPr>
        <w:t xml:space="preserve"> в носоглотке </w:t>
      </w:r>
      <w:proofErr w:type="gramStart"/>
      <w:r w:rsidRPr="005C46BD">
        <w:rPr>
          <w:rFonts w:ascii="Times New Roman" w:hAnsi="Times New Roman" w:cs="Times New Roman"/>
          <w:sz w:val="24"/>
          <w:szCs w:val="24"/>
        </w:rPr>
        <w:t>у лиц</w:t>
      </w:r>
      <w:proofErr w:type="gramEnd"/>
      <w:r w:rsidRPr="005C46BD">
        <w:rPr>
          <w:rFonts w:ascii="Times New Roman" w:hAnsi="Times New Roman" w:cs="Times New Roman"/>
          <w:sz w:val="24"/>
          <w:szCs w:val="24"/>
        </w:rPr>
        <w:t xml:space="preserve"> перенесших заболевание COVID-19</w:t>
      </w:r>
      <w:r>
        <w:rPr>
          <w:rFonts w:ascii="Times New Roman" w:hAnsi="Times New Roman" w:cs="Times New Roman"/>
          <w:sz w:val="24"/>
          <w:szCs w:val="24"/>
        </w:rPr>
        <w:t xml:space="preserve">. </w:t>
      </w:r>
      <w:r w:rsidRPr="005C46BD">
        <w:rPr>
          <w:rFonts w:ascii="Times New Roman" w:hAnsi="Times New Roman" w:cs="Times New Roman"/>
          <w:sz w:val="24"/>
          <w:szCs w:val="24"/>
        </w:rPr>
        <w:t xml:space="preserve">По оси абсцисс время и группы. По оси ординат Относительные единицы от числа копий </w:t>
      </w:r>
      <w:r w:rsidRPr="005C46BD">
        <w:rPr>
          <w:rFonts w:ascii="Times New Roman" w:hAnsi="Times New Roman" w:cs="Times New Roman"/>
          <w:sz w:val="24"/>
          <w:szCs w:val="24"/>
          <w:lang w:val="en-US"/>
        </w:rPr>
        <w:t>β</w:t>
      </w:r>
      <w:r w:rsidRPr="005C46BD">
        <w:rPr>
          <w:rFonts w:ascii="Times New Roman" w:hAnsi="Times New Roman" w:cs="Times New Roman"/>
          <w:sz w:val="24"/>
          <w:szCs w:val="24"/>
        </w:rPr>
        <w:t>-актина.</w:t>
      </w:r>
    </w:p>
    <w:p w14:paraId="3EDA69E1" w14:textId="3CA7D40B" w:rsidR="009D1B74" w:rsidRPr="009D1B74" w:rsidRDefault="009D1B74" w:rsidP="009D1B74">
      <w:pPr>
        <w:spacing w:line="240" w:lineRule="auto"/>
        <w:jc w:val="both"/>
        <w:rPr>
          <w:rFonts w:ascii="Times New Roman" w:hAnsi="Times New Roman" w:cs="Times New Roman"/>
          <w:color w:val="202124"/>
          <w:sz w:val="24"/>
          <w:szCs w:val="24"/>
          <w:shd w:val="clear" w:color="auto" w:fill="F8F9FA"/>
          <w:lang w:val="en-US"/>
        </w:rPr>
      </w:pPr>
      <w:r w:rsidRPr="005C46BD">
        <w:rPr>
          <w:rFonts w:ascii="Times New Roman" w:hAnsi="Times New Roman" w:cs="Times New Roman"/>
          <w:color w:val="202124"/>
          <w:sz w:val="24"/>
          <w:szCs w:val="24"/>
          <w:shd w:val="clear" w:color="auto" w:fill="F8F9FA"/>
          <w:lang w:val="en-US"/>
        </w:rPr>
        <w:t>Figure 2. Level of expression of the TNF-</w:t>
      </w:r>
      <w:r w:rsidRPr="005C46BD">
        <w:rPr>
          <w:rFonts w:ascii="Times New Roman" w:hAnsi="Times New Roman" w:cs="Times New Roman"/>
          <w:color w:val="202124"/>
          <w:sz w:val="24"/>
          <w:szCs w:val="24"/>
          <w:shd w:val="clear" w:color="auto" w:fill="F8F9FA"/>
        </w:rPr>
        <w:t>α</w:t>
      </w:r>
      <w:r w:rsidRPr="005C46BD">
        <w:rPr>
          <w:rFonts w:ascii="Times New Roman" w:hAnsi="Times New Roman" w:cs="Times New Roman"/>
          <w:color w:val="202124"/>
          <w:sz w:val="24"/>
          <w:szCs w:val="24"/>
          <w:shd w:val="clear" w:color="auto" w:fill="F8F9FA"/>
          <w:lang w:val="en-US"/>
        </w:rPr>
        <w:t xml:space="preserve"> gene in the nasopharynx in individuals who have had COVID-19 disease</w:t>
      </w:r>
      <w:r w:rsidRPr="009D1B74">
        <w:rPr>
          <w:rFonts w:ascii="Times New Roman" w:hAnsi="Times New Roman" w:cs="Times New Roman"/>
          <w:color w:val="202124"/>
          <w:sz w:val="24"/>
          <w:szCs w:val="24"/>
          <w:shd w:val="clear" w:color="auto" w:fill="F8F9FA"/>
          <w:lang w:val="en-US"/>
        </w:rPr>
        <w:t xml:space="preserve">. </w:t>
      </w:r>
      <w:r w:rsidRPr="005C46BD">
        <w:rPr>
          <w:rFonts w:ascii="Times New Roman" w:hAnsi="Times New Roman" w:cs="Times New Roman"/>
          <w:color w:val="202124"/>
          <w:sz w:val="24"/>
          <w:szCs w:val="24"/>
          <w:shd w:val="clear" w:color="auto" w:fill="F8F9FA"/>
          <w:lang w:val="en-US"/>
        </w:rPr>
        <w:t xml:space="preserve">The x-axis is time and groups. Y axis Relative units of </w:t>
      </w:r>
      <w:r w:rsidRPr="005C46BD">
        <w:rPr>
          <w:rFonts w:ascii="Times New Roman" w:hAnsi="Times New Roman" w:cs="Times New Roman"/>
          <w:color w:val="202124"/>
          <w:sz w:val="24"/>
          <w:szCs w:val="24"/>
          <w:shd w:val="clear" w:color="auto" w:fill="F8F9FA"/>
        </w:rPr>
        <w:t>β</w:t>
      </w:r>
      <w:r w:rsidRPr="005C46BD">
        <w:rPr>
          <w:rFonts w:ascii="Times New Roman" w:hAnsi="Times New Roman" w:cs="Times New Roman"/>
          <w:color w:val="202124"/>
          <w:sz w:val="24"/>
          <w:szCs w:val="24"/>
          <w:shd w:val="clear" w:color="auto" w:fill="F8F9FA"/>
          <w:lang w:val="en-US"/>
        </w:rPr>
        <w:t>-actin copy number.</w:t>
      </w:r>
    </w:p>
    <w:p w14:paraId="0C708E8D" w14:textId="128AE1A9" w:rsidR="009D1B74" w:rsidRPr="009D1B74" w:rsidRDefault="009D1B74" w:rsidP="009D1B74">
      <w:pPr>
        <w:pStyle w:val="a3"/>
        <w:jc w:val="center"/>
        <w:rPr>
          <w:lang w:val="en-US"/>
        </w:rPr>
      </w:pPr>
    </w:p>
    <w:p w14:paraId="74D07F67" w14:textId="7DB47578" w:rsidR="00C447E5" w:rsidRDefault="00C447E5" w:rsidP="00F7351D">
      <w:pPr>
        <w:pStyle w:val="a3"/>
        <w:rPr>
          <w:lang w:val="en-US"/>
        </w:rPr>
      </w:pPr>
    </w:p>
    <w:p w14:paraId="0F0B81E5" w14:textId="233484CB" w:rsidR="00C447E5" w:rsidRDefault="00C447E5" w:rsidP="00F7351D">
      <w:pPr>
        <w:pStyle w:val="a3"/>
        <w:rPr>
          <w:lang w:val="en-US"/>
        </w:rPr>
      </w:pPr>
    </w:p>
    <w:p w14:paraId="5D042160" w14:textId="550AC357" w:rsidR="0076200A" w:rsidRDefault="00435593" w:rsidP="00435593">
      <w:pPr>
        <w:spacing w:line="240" w:lineRule="auto"/>
        <w:jc w:val="center"/>
        <w:rPr>
          <w:rFonts w:ascii="Times New Roman" w:hAnsi="Times New Roman" w:cs="Times New Roman"/>
          <w:sz w:val="28"/>
          <w:szCs w:val="28"/>
          <w:lang w:val="en-US"/>
        </w:rPr>
      </w:pPr>
      <w:r>
        <w:rPr>
          <w:rFonts w:ascii="Times New Roman" w:hAnsi="Times New Roman" w:cs="Times New Roman"/>
          <w:noProof/>
          <w:sz w:val="28"/>
          <w:szCs w:val="28"/>
          <w:lang w:val="en-US"/>
        </w:rPr>
        <w:drawing>
          <wp:inline distT="0" distB="0" distL="0" distR="0" wp14:anchorId="3E237D77" wp14:editId="268E946F">
            <wp:extent cx="3594100" cy="2032000"/>
            <wp:effectExtent l="0" t="0" r="6350" b="635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94100" cy="2032000"/>
                    </a:xfrm>
                    <a:prstGeom prst="rect">
                      <a:avLst/>
                    </a:prstGeom>
                    <a:noFill/>
                    <a:ln>
                      <a:noFill/>
                    </a:ln>
                  </pic:spPr>
                </pic:pic>
              </a:graphicData>
            </a:graphic>
          </wp:inline>
        </w:drawing>
      </w:r>
    </w:p>
    <w:p w14:paraId="60D57C98" w14:textId="38FD20D3" w:rsidR="006B2BA8" w:rsidRDefault="006B2BA8" w:rsidP="006B2BA8">
      <w:pPr>
        <w:spacing w:line="240" w:lineRule="auto"/>
        <w:jc w:val="both"/>
        <w:rPr>
          <w:rFonts w:ascii="Times New Roman" w:hAnsi="Times New Roman" w:cs="Times New Roman"/>
          <w:sz w:val="24"/>
          <w:szCs w:val="24"/>
        </w:rPr>
      </w:pPr>
      <w:r w:rsidRPr="005C46BD">
        <w:rPr>
          <w:rFonts w:ascii="Times New Roman" w:hAnsi="Times New Roman" w:cs="Times New Roman"/>
          <w:sz w:val="24"/>
          <w:szCs w:val="24"/>
        </w:rPr>
        <w:t xml:space="preserve">Рисунок 3. Распределение частот генотипов полиморфного маркера rs5743836 гена TLR9 в группах с тяжелым и легким течением </w:t>
      </w:r>
      <w:proofErr w:type="spellStart"/>
      <w:r w:rsidRPr="005C46BD">
        <w:rPr>
          <w:rFonts w:ascii="Times New Roman" w:hAnsi="Times New Roman" w:cs="Times New Roman"/>
          <w:sz w:val="24"/>
          <w:szCs w:val="24"/>
        </w:rPr>
        <w:t>коронавирусной</w:t>
      </w:r>
      <w:proofErr w:type="spellEnd"/>
      <w:r w:rsidRPr="005C46BD">
        <w:rPr>
          <w:rFonts w:ascii="Times New Roman" w:hAnsi="Times New Roman" w:cs="Times New Roman"/>
          <w:sz w:val="24"/>
          <w:szCs w:val="24"/>
        </w:rPr>
        <w:t xml:space="preserve"> инфекции и в контрольной группе. По оси абсцисс представлены исследуемые группы, по оси ординат представлена частота. * - p≤0,05</w:t>
      </w:r>
    </w:p>
    <w:p w14:paraId="5E8CB571" w14:textId="77777777" w:rsidR="00435593" w:rsidRPr="005C46BD" w:rsidRDefault="00435593" w:rsidP="00435593">
      <w:pPr>
        <w:spacing w:line="240" w:lineRule="auto"/>
        <w:jc w:val="both"/>
        <w:rPr>
          <w:rFonts w:ascii="Times New Roman" w:hAnsi="Times New Roman" w:cs="Times New Roman"/>
          <w:color w:val="202124"/>
          <w:sz w:val="24"/>
          <w:szCs w:val="24"/>
          <w:shd w:val="clear" w:color="auto" w:fill="F8F9FA"/>
          <w:lang w:val="en-US"/>
        </w:rPr>
      </w:pPr>
      <w:bookmarkStart w:id="1" w:name="_Hlk158976148"/>
      <w:r w:rsidRPr="005C46BD">
        <w:rPr>
          <w:rFonts w:ascii="Times New Roman" w:hAnsi="Times New Roman" w:cs="Times New Roman"/>
          <w:color w:val="202124"/>
          <w:sz w:val="24"/>
          <w:szCs w:val="24"/>
          <w:shd w:val="clear" w:color="auto" w:fill="F8F9FA"/>
          <w:lang w:val="en-US"/>
        </w:rPr>
        <w:t>Figure 3. Distribution of genotype frequencies of the polymorphic marker rs5743836 of the TLR9 gene in groups with severe and mild coronavirus infection and in the control group. The x-axis represents the study groups, and the y-axis represents frequency. * - p≤0.05</w:t>
      </w:r>
      <w:bookmarkEnd w:id="1"/>
    </w:p>
    <w:p w14:paraId="61E1048F" w14:textId="006A42A1" w:rsidR="006B2BA8" w:rsidRPr="005C46BD" w:rsidRDefault="00435593" w:rsidP="00435593">
      <w:pPr>
        <w:spacing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C4834B6" wp14:editId="127728F0">
            <wp:extent cx="2825750" cy="19431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25750" cy="1943100"/>
                    </a:xfrm>
                    <a:prstGeom prst="rect">
                      <a:avLst/>
                    </a:prstGeom>
                    <a:noFill/>
                    <a:ln>
                      <a:noFill/>
                    </a:ln>
                  </pic:spPr>
                </pic:pic>
              </a:graphicData>
            </a:graphic>
          </wp:inline>
        </w:drawing>
      </w:r>
    </w:p>
    <w:p w14:paraId="01BC8A8A" w14:textId="77777777" w:rsidR="00435593" w:rsidRDefault="006B2BA8" w:rsidP="00435593">
      <w:pPr>
        <w:spacing w:line="240" w:lineRule="auto"/>
        <w:jc w:val="both"/>
        <w:rPr>
          <w:rFonts w:ascii="Times New Roman" w:hAnsi="Times New Roman" w:cs="Times New Roman"/>
          <w:color w:val="202124"/>
          <w:sz w:val="24"/>
          <w:szCs w:val="24"/>
          <w:shd w:val="clear" w:color="auto" w:fill="F8F9FA"/>
          <w:lang w:val="en-US"/>
        </w:rPr>
      </w:pPr>
      <w:r w:rsidRPr="005C46BD">
        <w:rPr>
          <w:rFonts w:ascii="Times New Roman" w:hAnsi="Times New Roman" w:cs="Times New Roman"/>
          <w:sz w:val="24"/>
          <w:szCs w:val="24"/>
        </w:rPr>
        <w:t xml:space="preserve">Рисунок 4. Распределение частот гаплотипов GATT полиморфных маркеров rs352140 и rs5743836 гена TLR9 в группах с тяжелым и легким течением </w:t>
      </w:r>
      <w:proofErr w:type="spellStart"/>
      <w:r w:rsidRPr="005C46BD">
        <w:rPr>
          <w:rFonts w:ascii="Times New Roman" w:hAnsi="Times New Roman" w:cs="Times New Roman"/>
          <w:sz w:val="24"/>
          <w:szCs w:val="24"/>
        </w:rPr>
        <w:t>коронавирусной</w:t>
      </w:r>
      <w:proofErr w:type="spellEnd"/>
      <w:r w:rsidRPr="005C46BD">
        <w:rPr>
          <w:rFonts w:ascii="Times New Roman" w:hAnsi="Times New Roman" w:cs="Times New Roman"/>
          <w:sz w:val="24"/>
          <w:szCs w:val="24"/>
        </w:rPr>
        <w:t xml:space="preserve"> инфекции и в контрольной группе. По оси абсцисс представлены исследуемые группы, по оси ординат представлена частота. * - p≤0,05</w:t>
      </w:r>
      <w:r w:rsidR="00435593" w:rsidRPr="00435593">
        <w:rPr>
          <w:rFonts w:ascii="Times New Roman" w:hAnsi="Times New Roman" w:cs="Times New Roman"/>
          <w:color w:val="202124"/>
          <w:sz w:val="24"/>
          <w:szCs w:val="24"/>
          <w:shd w:val="clear" w:color="auto" w:fill="F8F9FA"/>
          <w:lang w:val="en-US"/>
        </w:rPr>
        <w:t xml:space="preserve"> </w:t>
      </w:r>
    </w:p>
    <w:p w14:paraId="3C7C9D31" w14:textId="5BFC8664" w:rsidR="00435593" w:rsidRPr="005C46BD" w:rsidRDefault="00435593" w:rsidP="00435593">
      <w:pPr>
        <w:spacing w:line="240" w:lineRule="auto"/>
        <w:jc w:val="both"/>
        <w:rPr>
          <w:rFonts w:ascii="Times New Roman" w:hAnsi="Times New Roman" w:cs="Times New Roman"/>
          <w:color w:val="202124"/>
          <w:sz w:val="24"/>
          <w:szCs w:val="24"/>
          <w:shd w:val="clear" w:color="auto" w:fill="F8F9FA"/>
          <w:lang w:val="en-US"/>
        </w:rPr>
      </w:pPr>
      <w:r w:rsidRPr="005C46BD">
        <w:rPr>
          <w:rFonts w:ascii="Times New Roman" w:hAnsi="Times New Roman" w:cs="Times New Roman"/>
          <w:color w:val="202124"/>
          <w:sz w:val="24"/>
          <w:szCs w:val="24"/>
          <w:shd w:val="clear" w:color="auto" w:fill="F8F9FA"/>
          <w:lang w:val="en-US"/>
        </w:rPr>
        <w:t>Figure 4. Distribution of haplotype frequencies of GATT polymorphic markers rs352140 and rs5743836 of the TLR9 gene in groups with severe and mild coronavirus infection and in the control group. The x-axis represents the study groups, and the y-axis represents frequency. * - p≤0.05</w:t>
      </w:r>
      <w:bookmarkStart w:id="2" w:name="_GoBack"/>
      <w:bookmarkEnd w:id="2"/>
    </w:p>
    <w:p w14:paraId="7919AF87" w14:textId="0647BF05" w:rsidR="006B2BA8" w:rsidRPr="005C46BD" w:rsidRDefault="00435593" w:rsidP="00435593">
      <w:pPr>
        <w:spacing w:line="240" w:lineRule="auto"/>
        <w:jc w:val="cente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51367F58" wp14:editId="373BA578">
            <wp:extent cx="3009900" cy="20383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09900" cy="2038350"/>
                    </a:xfrm>
                    <a:prstGeom prst="rect">
                      <a:avLst/>
                    </a:prstGeom>
                    <a:noFill/>
                    <a:ln>
                      <a:noFill/>
                    </a:ln>
                  </pic:spPr>
                </pic:pic>
              </a:graphicData>
            </a:graphic>
          </wp:inline>
        </w:drawing>
      </w:r>
    </w:p>
    <w:p w14:paraId="696FC5DA" w14:textId="77777777" w:rsidR="006B2BA8" w:rsidRPr="005C46BD" w:rsidRDefault="006B2BA8" w:rsidP="006B2BA8">
      <w:pPr>
        <w:spacing w:line="240" w:lineRule="auto"/>
        <w:jc w:val="both"/>
        <w:rPr>
          <w:rFonts w:ascii="Times New Roman" w:hAnsi="Times New Roman" w:cs="Times New Roman"/>
          <w:sz w:val="24"/>
          <w:szCs w:val="24"/>
        </w:rPr>
      </w:pPr>
      <w:r w:rsidRPr="005C46BD">
        <w:rPr>
          <w:rFonts w:ascii="Times New Roman" w:hAnsi="Times New Roman" w:cs="Times New Roman"/>
          <w:sz w:val="24"/>
          <w:szCs w:val="24"/>
        </w:rPr>
        <w:t xml:space="preserve">Рисунок 5. Распределение частот гаплотипов GGCC полиморфных маркеров rs11536889 и rs4986791 гена TLR4 в группах с тяжелым и легким течением </w:t>
      </w:r>
      <w:proofErr w:type="spellStart"/>
      <w:r w:rsidRPr="005C46BD">
        <w:rPr>
          <w:rFonts w:ascii="Times New Roman" w:hAnsi="Times New Roman" w:cs="Times New Roman"/>
          <w:sz w:val="24"/>
          <w:szCs w:val="24"/>
        </w:rPr>
        <w:t>коронавирусной</w:t>
      </w:r>
      <w:proofErr w:type="spellEnd"/>
      <w:r w:rsidRPr="005C46BD">
        <w:rPr>
          <w:rFonts w:ascii="Times New Roman" w:hAnsi="Times New Roman" w:cs="Times New Roman"/>
          <w:sz w:val="24"/>
          <w:szCs w:val="24"/>
        </w:rPr>
        <w:t xml:space="preserve"> инфекции и в контрольной группе. По оси абсцисс представлены исследуемые группы, по оси ординат представлена частота. * - p≤0,05</w:t>
      </w:r>
    </w:p>
    <w:p w14:paraId="298F76C2" w14:textId="77777777" w:rsidR="00435593" w:rsidRPr="005C46BD" w:rsidRDefault="00435593" w:rsidP="00435593">
      <w:pPr>
        <w:spacing w:line="240" w:lineRule="auto"/>
        <w:jc w:val="both"/>
        <w:rPr>
          <w:rFonts w:ascii="Times New Roman" w:hAnsi="Times New Roman" w:cs="Times New Roman"/>
          <w:color w:val="202124"/>
          <w:sz w:val="24"/>
          <w:szCs w:val="24"/>
          <w:shd w:val="clear" w:color="auto" w:fill="F8F9FA"/>
          <w:lang w:val="en-US"/>
        </w:rPr>
      </w:pPr>
      <w:r w:rsidRPr="005C46BD">
        <w:rPr>
          <w:rFonts w:ascii="Times New Roman" w:hAnsi="Times New Roman" w:cs="Times New Roman"/>
          <w:color w:val="202124"/>
          <w:sz w:val="24"/>
          <w:szCs w:val="24"/>
          <w:shd w:val="clear" w:color="auto" w:fill="F8F9FA"/>
          <w:lang w:val="en-US"/>
        </w:rPr>
        <w:t>Figure 5. Distribution of frequencies of GGCC haplotypes of polymorphic markers rs11536889 and rs4986791 of the TLR4 gene in groups with severe and mild coronavirus infection and in the control group. The x-axis represents the study groups, and the y-axis represents frequency. * - p≤0.05</w:t>
      </w:r>
    </w:p>
    <w:p w14:paraId="7FB09846" w14:textId="13ED2978" w:rsidR="00F7351D" w:rsidRDefault="00F7351D" w:rsidP="00CC2314">
      <w:pPr>
        <w:spacing w:line="240" w:lineRule="auto"/>
        <w:jc w:val="both"/>
        <w:rPr>
          <w:rFonts w:ascii="Times New Roman" w:hAnsi="Times New Roman" w:cs="Times New Roman"/>
          <w:sz w:val="28"/>
          <w:szCs w:val="28"/>
          <w:lang w:val="en-US"/>
        </w:rPr>
      </w:pPr>
    </w:p>
    <w:p w14:paraId="44C3E366" w14:textId="0C5CA768" w:rsidR="00C447E5" w:rsidRPr="00F7351D" w:rsidRDefault="00C447E5" w:rsidP="00CC2314">
      <w:pPr>
        <w:spacing w:line="240" w:lineRule="auto"/>
        <w:jc w:val="both"/>
        <w:rPr>
          <w:rFonts w:ascii="Times New Roman" w:hAnsi="Times New Roman" w:cs="Times New Roman"/>
          <w:sz w:val="28"/>
          <w:szCs w:val="28"/>
          <w:lang w:val="en-US"/>
        </w:rPr>
      </w:pPr>
    </w:p>
    <w:sectPr w:rsidR="00C447E5" w:rsidRPr="00F7351D" w:rsidSect="00B732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FDD"/>
    <w:rsid w:val="00190A85"/>
    <w:rsid w:val="001D5AD4"/>
    <w:rsid w:val="00207700"/>
    <w:rsid w:val="0035457D"/>
    <w:rsid w:val="00435593"/>
    <w:rsid w:val="00442C92"/>
    <w:rsid w:val="004A706C"/>
    <w:rsid w:val="004F2104"/>
    <w:rsid w:val="004F33F9"/>
    <w:rsid w:val="005507AB"/>
    <w:rsid w:val="006B2BA8"/>
    <w:rsid w:val="0070284D"/>
    <w:rsid w:val="0075619D"/>
    <w:rsid w:val="0076200A"/>
    <w:rsid w:val="00785EBC"/>
    <w:rsid w:val="00806680"/>
    <w:rsid w:val="008C131B"/>
    <w:rsid w:val="0094579B"/>
    <w:rsid w:val="009B12B8"/>
    <w:rsid w:val="009D1B74"/>
    <w:rsid w:val="00A4786D"/>
    <w:rsid w:val="00A7521F"/>
    <w:rsid w:val="00B732B1"/>
    <w:rsid w:val="00B80FDD"/>
    <w:rsid w:val="00BA3C49"/>
    <w:rsid w:val="00BD71D9"/>
    <w:rsid w:val="00C447E5"/>
    <w:rsid w:val="00CC2314"/>
    <w:rsid w:val="00D6703D"/>
    <w:rsid w:val="00D70A87"/>
    <w:rsid w:val="00DC4FD5"/>
    <w:rsid w:val="00DE64C3"/>
    <w:rsid w:val="00F7351D"/>
    <w:rsid w:val="00FB25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76B0A"/>
  <w15:docId w15:val="{775C92F1-A283-4C91-A590-709828106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E64C3"/>
    <w:pPr>
      <w:spacing w:after="0" w:line="240" w:lineRule="auto"/>
      <w:jc w:val="both"/>
    </w:pPr>
    <w:rPr>
      <w:rFonts w:ascii="Times New Roman" w:eastAsiaTheme="minorHAnsi"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272247">
      <w:bodyDiv w:val="1"/>
      <w:marLeft w:val="0"/>
      <w:marRight w:val="0"/>
      <w:marTop w:val="0"/>
      <w:marBottom w:val="0"/>
      <w:divBdr>
        <w:top w:val="none" w:sz="0" w:space="0" w:color="auto"/>
        <w:left w:val="none" w:sz="0" w:space="0" w:color="auto"/>
        <w:bottom w:val="none" w:sz="0" w:space="0" w:color="auto"/>
        <w:right w:val="none" w:sz="0" w:space="0" w:color="auto"/>
      </w:divBdr>
    </w:div>
    <w:div w:id="182013628">
      <w:bodyDiv w:val="1"/>
      <w:marLeft w:val="0"/>
      <w:marRight w:val="0"/>
      <w:marTop w:val="0"/>
      <w:marBottom w:val="0"/>
      <w:divBdr>
        <w:top w:val="none" w:sz="0" w:space="0" w:color="auto"/>
        <w:left w:val="none" w:sz="0" w:space="0" w:color="auto"/>
        <w:bottom w:val="none" w:sz="0" w:space="0" w:color="auto"/>
        <w:right w:val="none" w:sz="0" w:space="0" w:color="auto"/>
      </w:divBdr>
    </w:div>
    <w:div w:id="714087879">
      <w:bodyDiv w:val="1"/>
      <w:marLeft w:val="0"/>
      <w:marRight w:val="0"/>
      <w:marTop w:val="0"/>
      <w:marBottom w:val="0"/>
      <w:divBdr>
        <w:top w:val="none" w:sz="0" w:space="0" w:color="auto"/>
        <w:left w:val="none" w:sz="0" w:space="0" w:color="auto"/>
        <w:bottom w:val="none" w:sz="0" w:space="0" w:color="auto"/>
        <w:right w:val="none" w:sz="0" w:space="0" w:color="auto"/>
      </w:divBdr>
    </w:div>
    <w:div w:id="896092410">
      <w:bodyDiv w:val="1"/>
      <w:marLeft w:val="0"/>
      <w:marRight w:val="0"/>
      <w:marTop w:val="0"/>
      <w:marBottom w:val="0"/>
      <w:divBdr>
        <w:top w:val="none" w:sz="0" w:space="0" w:color="auto"/>
        <w:left w:val="none" w:sz="0" w:space="0" w:color="auto"/>
        <w:bottom w:val="none" w:sz="0" w:space="0" w:color="auto"/>
        <w:right w:val="none" w:sz="0" w:space="0" w:color="auto"/>
      </w:divBdr>
    </w:div>
    <w:div w:id="1763724270">
      <w:bodyDiv w:val="1"/>
      <w:marLeft w:val="0"/>
      <w:marRight w:val="0"/>
      <w:marTop w:val="0"/>
      <w:marBottom w:val="0"/>
      <w:divBdr>
        <w:top w:val="none" w:sz="0" w:space="0" w:color="auto"/>
        <w:left w:val="none" w:sz="0" w:space="0" w:color="auto"/>
        <w:bottom w:val="none" w:sz="0" w:space="0" w:color="auto"/>
        <w:right w:val="none" w:sz="0" w:space="0" w:color="auto"/>
      </w:divBdr>
    </w:div>
    <w:div w:id="177964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tiff"/><Relationship Id="rId3" Type="http://schemas.openxmlformats.org/officeDocument/2006/relationships/webSettings" Target="webSettings.xml"/><Relationship Id="rId7" Type="http://schemas.openxmlformats.org/officeDocument/2006/relationships/image" Target="media/image4.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tiff"/><Relationship Id="rId5" Type="http://schemas.openxmlformats.org/officeDocument/2006/relationships/image" Target="media/image2.tiff"/><Relationship Id="rId10" Type="http://schemas.openxmlformats.org/officeDocument/2006/relationships/theme" Target="theme/theme1.xml"/><Relationship Id="rId4" Type="http://schemas.openxmlformats.org/officeDocument/2006/relationships/image" Target="media/image1.tiff"/><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320</Words>
  <Characters>2123</Characters>
  <Application>Microsoft Office Word</Application>
  <DocSecurity>0</DocSecurity>
  <Lines>44</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Йожиг</dc:creator>
  <cp:lastModifiedBy>Xiaomi</cp:lastModifiedBy>
  <cp:revision>2</cp:revision>
  <dcterms:created xsi:type="dcterms:W3CDTF">2024-11-29T12:25:00Z</dcterms:created>
  <dcterms:modified xsi:type="dcterms:W3CDTF">2024-11-29T12:25:00Z</dcterms:modified>
</cp:coreProperties>
</file>